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E1104" w14:textId="3D52FD53" w:rsidR="00E37493" w:rsidRDefault="00823A47">
      <w:pPr>
        <w:rPr>
          <w:rFonts w:ascii="Arial Negrita" w:eastAsia="Times New Roman" w:hAnsi="Arial Negrita"/>
          <w:b/>
          <w:bCs/>
          <w:caps/>
          <w:color w:val="FF0000"/>
          <w:sz w:val="28"/>
          <w:szCs w:val="28"/>
        </w:rPr>
      </w:pPr>
      <w:r>
        <w:rPr>
          <w:rFonts w:ascii="Arial Negrita" w:eastAsia="Times New Roman" w:hAnsi="Arial Negrita"/>
          <w:b/>
          <w:bCs/>
          <w:caps/>
          <w:color w:val="FF0000"/>
          <w:sz w:val="28"/>
          <w:szCs w:val="28"/>
        </w:rPr>
        <w:t>1029_</w:t>
      </w:r>
      <w:r w:rsidR="00CC1DC6" w:rsidRPr="00CC1DC6">
        <w:rPr>
          <w:rFonts w:ascii="Arial Negrita" w:eastAsia="Times New Roman" w:hAnsi="Arial Negrita"/>
          <w:b/>
          <w:bCs/>
          <w:caps/>
          <w:color w:val="FF0000"/>
          <w:sz w:val="28"/>
          <w:szCs w:val="28"/>
        </w:rPr>
        <w:t>Capital</w:t>
      </w:r>
      <w:r w:rsidR="00CC1DC6">
        <w:rPr>
          <w:rFonts w:ascii="Arial Negrita" w:eastAsia="Times New Roman" w:hAnsi="Arial Negrita"/>
          <w:b/>
          <w:bCs/>
          <w:caps/>
          <w:color w:val="FF0000"/>
          <w:sz w:val="28"/>
          <w:szCs w:val="28"/>
        </w:rPr>
        <w:t xml:space="preserve"> </w:t>
      </w:r>
      <w:r w:rsidR="00CC1DC6" w:rsidRPr="00CC1DC6">
        <w:rPr>
          <w:rFonts w:ascii="Arial Negrita" w:eastAsia="Times New Roman" w:hAnsi="Arial Negrita"/>
          <w:b/>
          <w:bCs/>
          <w:caps/>
          <w:color w:val="FF0000"/>
          <w:sz w:val="28"/>
          <w:szCs w:val="28"/>
        </w:rPr>
        <w:t>social,</w:t>
      </w:r>
      <w:r w:rsidR="00CC1DC6">
        <w:rPr>
          <w:rFonts w:ascii="Arial Negrita" w:eastAsia="Times New Roman" w:hAnsi="Arial Negrita"/>
          <w:b/>
          <w:bCs/>
          <w:caps/>
          <w:color w:val="FF0000"/>
          <w:sz w:val="28"/>
          <w:szCs w:val="28"/>
        </w:rPr>
        <w:t xml:space="preserve"> </w:t>
      </w:r>
      <w:r w:rsidR="00CC1DC6" w:rsidRPr="00CC1DC6">
        <w:rPr>
          <w:rFonts w:ascii="Arial Negrita" w:eastAsia="Times New Roman" w:hAnsi="Arial Negrita"/>
          <w:b/>
          <w:bCs/>
          <w:caps/>
          <w:color w:val="FF0000"/>
          <w:sz w:val="28"/>
          <w:szCs w:val="28"/>
        </w:rPr>
        <w:t>dotación</w:t>
      </w:r>
      <w:r w:rsidR="00CC1DC6">
        <w:rPr>
          <w:rFonts w:ascii="Arial Negrita" w:eastAsia="Times New Roman" w:hAnsi="Arial Negrita"/>
          <w:b/>
          <w:bCs/>
          <w:caps/>
          <w:color w:val="FF0000"/>
          <w:sz w:val="28"/>
          <w:szCs w:val="28"/>
        </w:rPr>
        <w:t xml:space="preserve"> </w:t>
      </w:r>
      <w:r w:rsidR="00CC1DC6" w:rsidRPr="00CC1DC6">
        <w:rPr>
          <w:rFonts w:ascii="Arial Negrita" w:eastAsia="Times New Roman" w:hAnsi="Arial Negrita"/>
          <w:b/>
          <w:bCs/>
          <w:caps/>
          <w:color w:val="FF0000"/>
          <w:sz w:val="28"/>
          <w:szCs w:val="28"/>
        </w:rPr>
        <w:t>fundacional o participación y recursos que financian sus actividades.</w:t>
      </w:r>
    </w:p>
    <w:p w14:paraId="217F9F52" w14:textId="0E0E17C6" w:rsidR="00E37493" w:rsidRDefault="00E37493"/>
    <w:p w14:paraId="2938797A" w14:textId="77777777" w:rsidR="006915AB" w:rsidRPr="00F443F6" w:rsidRDefault="006915AB" w:rsidP="006915AB">
      <w:pPr>
        <w:rPr>
          <w:rFonts w:asciiTheme="minorHAnsi" w:hAnsiTheme="minorHAnsi" w:cstheme="minorHAnsi"/>
        </w:rPr>
      </w:pPr>
      <w:r w:rsidRPr="00F443F6">
        <w:rPr>
          <w:rFonts w:asciiTheme="minorHAnsi" w:hAnsiTheme="minorHAnsi" w:cstheme="minorHAnsi"/>
        </w:rPr>
        <w:t>Según recoge el artículo 30 de los Estatutos los recursos que financian las actividades del Consorcio son los siguientes:</w:t>
      </w:r>
    </w:p>
    <w:p w14:paraId="76990207" w14:textId="638217A2" w:rsidR="006915AB" w:rsidRPr="00F443F6" w:rsidRDefault="006915AB" w:rsidP="006915AB">
      <w:pPr>
        <w:rPr>
          <w:rFonts w:asciiTheme="minorHAnsi" w:hAnsiTheme="minorHAnsi" w:cstheme="minorHAnsi"/>
        </w:rPr>
      </w:pPr>
    </w:p>
    <w:p w14:paraId="66EFB609" w14:textId="77777777" w:rsidR="006915AB" w:rsidRPr="00F443F6" w:rsidRDefault="006915AB" w:rsidP="006915AB">
      <w:pPr>
        <w:pStyle w:val="Prrafodelista"/>
        <w:numPr>
          <w:ilvl w:val="0"/>
          <w:numId w:val="1"/>
        </w:numPr>
        <w:rPr>
          <w:rFonts w:asciiTheme="minorHAnsi" w:hAnsiTheme="minorHAnsi" w:cstheme="minorHAnsi"/>
        </w:rPr>
      </w:pPr>
      <w:r w:rsidRPr="00DD0F73">
        <w:rPr>
          <w:rFonts w:asciiTheme="minorHAnsi" w:hAnsiTheme="minorHAnsi" w:cstheme="minorHAnsi"/>
          <w:b/>
          <w:bCs/>
        </w:rPr>
        <w:t>Aportaciones de las Administraciones consorciadas</w:t>
      </w:r>
      <w:r w:rsidRPr="00F443F6">
        <w:rPr>
          <w:rFonts w:asciiTheme="minorHAnsi" w:hAnsiTheme="minorHAnsi" w:cstheme="minorHAnsi"/>
        </w:rPr>
        <w:t>, que en todo caso tendrán carácter finalista respecto del servicio público que presta este Consorcio, en los términos siguientes:</w:t>
      </w:r>
    </w:p>
    <w:p w14:paraId="15275BE7" w14:textId="77777777" w:rsidR="006915AB" w:rsidRPr="00F443F6" w:rsidRDefault="006915AB" w:rsidP="006915AB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 w:rsidRPr="00F443F6">
        <w:rPr>
          <w:rFonts w:asciiTheme="minorHAnsi" w:hAnsiTheme="minorHAnsi" w:cstheme="minorHAnsi"/>
        </w:rPr>
        <w:t>Entidades Locales. La proporción indicada para cada entidad será la referida respecto del total de las aportaciones realizadas por todas ellas en conjunto:</w:t>
      </w:r>
    </w:p>
    <w:p w14:paraId="21FD5E39" w14:textId="77777777" w:rsidR="006915AB" w:rsidRPr="00CC1DC6" w:rsidRDefault="006915AB" w:rsidP="006915AB">
      <w:pPr>
        <w:ind w:left="1134"/>
        <w:rPr>
          <w:rFonts w:asciiTheme="minorHAnsi" w:hAnsiTheme="minorHAnsi" w:cstheme="minorHAnsi"/>
        </w:rPr>
      </w:pPr>
      <w:r w:rsidRPr="00CC1DC6">
        <w:rPr>
          <w:rFonts w:asciiTheme="minorHAnsi" w:hAnsiTheme="minorHAnsi" w:cstheme="minorHAnsi"/>
        </w:rPr>
        <w:t>a) Excmo. Cabildo Insular de Tenerife, un 40%.</w:t>
      </w:r>
    </w:p>
    <w:p w14:paraId="1014781E" w14:textId="77777777" w:rsidR="006915AB" w:rsidRPr="00CC1DC6" w:rsidRDefault="006915AB" w:rsidP="006915AB">
      <w:pPr>
        <w:ind w:left="1134"/>
        <w:rPr>
          <w:rFonts w:asciiTheme="minorHAnsi" w:hAnsiTheme="minorHAnsi" w:cstheme="minorHAnsi"/>
        </w:rPr>
      </w:pPr>
      <w:r w:rsidRPr="00CC1DC6">
        <w:rPr>
          <w:rFonts w:asciiTheme="minorHAnsi" w:hAnsiTheme="minorHAnsi" w:cstheme="minorHAnsi"/>
        </w:rPr>
        <w:t>b) Excmo. Ayuntamiento de Santa Cruz de Tenerife, un 19%</w:t>
      </w:r>
    </w:p>
    <w:p w14:paraId="7C50CE58" w14:textId="77777777" w:rsidR="006915AB" w:rsidRPr="00CC1DC6" w:rsidRDefault="006915AB" w:rsidP="006915AB">
      <w:pPr>
        <w:ind w:left="1134"/>
        <w:rPr>
          <w:rFonts w:asciiTheme="minorHAnsi" w:hAnsiTheme="minorHAnsi" w:cstheme="minorHAnsi"/>
        </w:rPr>
      </w:pPr>
      <w:r w:rsidRPr="00CC1DC6">
        <w:rPr>
          <w:rFonts w:asciiTheme="minorHAnsi" w:hAnsiTheme="minorHAnsi" w:cstheme="minorHAnsi"/>
        </w:rPr>
        <w:t>c) Excmo. Ayuntamiento de San Cristóbal de La Laguna, un 14%</w:t>
      </w:r>
    </w:p>
    <w:p w14:paraId="4308EFB1" w14:textId="77777777" w:rsidR="006915AB" w:rsidRPr="00CC1DC6" w:rsidRDefault="006915AB" w:rsidP="006915AB">
      <w:pPr>
        <w:ind w:left="1134"/>
        <w:rPr>
          <w:rFonts w:asciiTheme="minorHAnsi" w:hAnsiTheme="minorHAnsi" w:cstheme="minorHAnsi"/>
        </w:rPr>
      </w:pPr>
      <w:r w:rsidRPr="00CC1DC6">
        <w:rPr>
          <w:rFonts w:asciiTheme="minorHAnsi" w:hAnsiTheme="minorHAnsi" w:cstheme="minorHAnsi"/>
        </w:rPr>
        <w:t>d) Ilmo. Ayuntamiento de Arona, un 7%</w:t>
      </w:r>
    </w:p>
    <w:p w14:paraId="48E03E87" w14:textId="77777777" w:rsidR="006915AB" w:rsidRPr="00CC1DC6" w:rsidRDefault="006915AB" w:rsidP="006915AB">
      <w:pPr>
        <w:ind w:left="1134"/>
        <w:rPr>
          <w:rFonts w:asciiTheme="minorHAnsi" w:hAnsiTheme="minorHAnsi" w:cstheme="minorHAnsi"/>
        </w:rPr>
      </w:pPr>
      <w:r w:rsidRPr="00CC1DC6">
        <w:rPr>
          <w:rFonts w:asciiTheme="minorHAnsi" w:hAnsiTheme="minorHAnsi" w:cstheme="minorHAnsi"/>
        </w:rPr>
        <w:t>e) Ayuntamientos de entre 20.000 y 50.000 habitantes, un 14%</w:t>
      </w:r>
    </w:p>
    <w:p w14:paraId="5DCBAA17" w14:textId="77777777" w:rsidR="006915AB" w:rsidRPr="00F443F6" w:rsidRDefault="006915AB" w:rsidP="006915AB">
      <w:pPr>
        <w:ind w:left="1134"/>
        <w:rPr>
          <w:rFonts w:asciiTheme="minorHAnsi" w:hAnsiTheme="minorHAnsi" w:cstheme="minorHAnsi"/>
        </w:rPr>
      </w:pPr>
      <w:r w:rsidRPr="00CC1DC6">
        <w:rPr>
          <w:rFonts w:asciiTheme="minorHAnsi" w:hAnsiTheme="minorHAnsi" w:cstheme="minorHAnsi"/>
        </w:rPr>
        <w:t>f) Ayuntamientos de menos de 20.000 habitantes, un 6%</w:t>
      </w:r>
    </w:p>
    <w:p w14:paraId="69492785" w14:textId="77777777" w:rsidR="006915AB" w:rsidRPr="00CC1DC6" w:rsidRDefault="006915AB" w:rsidP="006915AB">
      <w:pPr>
        <w:ind w:left="1134"/>
        <w:rPr>
          <w:rFonts w:cs="Arial"/>
        </w:rPr>
      </w:pPr>
    </w:p>
    <w:p w14:paraId="367DFA20" w14:textId="77777777" w:rsidR="006915AB" w:rsidRPr="00F443F6" w:rsidRDefault="006915AB" w:rsidP="006915AB">
      <w:pPr>
        <w:pStyle w:val="Prrafodelista"/>
        <w:numPr>
          <w:ilvl w:val="0"/>
          <w:numId w:val="2"/>
        </w:numPr>
        <w:jc w:val="both"/>
        <w:rPr>
          <w:rFonts w:cs="Arial"/>
        </w:rPr>
      </w:pPr>
      <w:r w:rsidRPr="00F443F6">
        <w:rPr>
          <w:rFonts w:cs="Arial"/>
        </w:rPr>
        <w:t>Comunidad Autónoma de Canarias, participando en la cantidad que se determine en la Ley de Presupuestos Generales de la Comunidad Autónoma para cada año, previa</w:t>
      </w:r>
      <w:r>
        <w:rPr>
          <w:rFonts w:cs="Arial"/>
        </w:rPr>
        <w:t xml:space="preserve"> </w:t>
      </w:r>
      <w:r w:rsidRPr="00F443F6">
        <w:rPr>
          <w:rFonts w:cs="Arial"/>
        </w:rPr>
        <w:t>audiencia del Comité Ejecutivo. Esta cantidad se determinará teniendo en cuenta</w:t>
      </w:r>
      <w:r>
        <w:rPr>
          <w:rFonts w:cs="Arial"/>
        </w:rPr>
        <w:t xml:space="preserve"> </w:t>
      </w:r>
      <w:r w:rsidRPr="00F443F6">
        <w:rPr>
          <w:rFonts w:cs="Arial"/>
        </w:rPr>
        <w:t>respecto del servicio efectivamente prestado, el territorio sobre el que se actúa, así como la población, camas turísticas, y vehículos existentes en el ámbito territorial de actuación del Consorcio.</w:t>
      </w:r>
    </w:p>
    <w:p w14:paraId="19F16B2E" w14:textId="77777777" w:rsidR="006915AB" w:rsidRPr="00F443F6" w:rsidRDefault="006915AB" w:rsidP="006915AB">
      <w:pPr>
        <w:pStyle w:val="Prrafodelista"/>
        <w:ind w:left="1068"/>
        <w:jc w:val="both"/>
        <w:rPr>
          <w:rFonts w:cs="Arial"/>
        </w:rPr>
      </w:pPr>
      <w:r w:rsidRPr="00F443F6">
        <w:rPr>
          <w:rFonts w:cs="Arial"/>
        </w:rPr>
        <w:t>La distribución de las aportaciones de los municipios señalados en los</w:t>
      </w:r>
      <w:r>
        <w:rPr>
          <w:rFonts w:cs="Arial"/>
        </w:rPr>
        <w:t xml:space="preserve"> </w:t>
      </w:r>
      <w:r w:rsidRPr="00F443F6">
        <w:rPr>
          <w:rFonts w:cs="Arial"/>
        </w:rPr>
        <w:t>apartados e) y f) anteriores, dentro de sus porcentajes globales, se repartirá entre los</w:t>
      </w:r>
      <w:r>
        <w:rPr>
          <w:rFonts w:cs="Arial"/>
        </w:rPr>
        <w:t xml:space="preserve"> </w:t>
      </w:r>
      <w:r w:rsidRPr="00F443F6">
        <w:rPr>
          <w:rFonts w:cs="Arial"/>
        </w:rPr>
        <w:t>mismos con arreglo a la siguiente fórmula polinómica:</w:t>
      </w:r>
    </w:p>
    <w:p w14:paraId="5DA9771C" w14:textId="77777777" w:rsidR="006915AB" w:rsidRPr="00F443F6" w:rsidRDefault="006915AB" w:rsidP="006915AB">
      <w:pPr>
        <w:pStyle w:val="Prrafodelista"/>
        <w:ind w:firstLine="348"/>
        <w:jc w:val="both"/>
        <w:rPr>
          <w:rFonts w:cs="Arial"/>
        </w:rPr>
      </w:pPr>
      <w:r w:rsidRPr="00F443F6">
        <w:rPr>
          <w:rFonts w:cs="Arial"/>
        </w:rPr>
        <w:t xml:space="preserve">Ci = 0.65 </w:t>
      </w:r>
      <w:proofErr w:type="spellStart"/>
      <w:r w:rsidRPr="00F443F6">
        <w:rPr>
          <w:rFonts w:cs="Arial"/>
        </w:rPr>
        <w:t>Rpi</w:t>
      </w:r>
      <w:proofErr w:type="spellEnd"/>
      <w:r w:rsidRPr="00F443F6">
        <w:rPr>
          <w:rFonts w:cs="Arial"/>
        </w:rPr>
        <w:t xml:space="preserve"> + 0.15 </w:t>
      </w:r>
      <w:proofErr w:type="spellStart"/>
      <w:r w:rsidRPr="00F443F6">
        <w:rPr>
          <w:rFonts w:cs="Arial"/>
        </w:rPr>
        <w:t>Cti</w:t>
      </w:r>
      <w:proofErr w:type="spellEnd"/>
      <w:r w:rsidRPr="00F443F6">
        <w:rPr>
          <w:rFonts w:cs="Arial"/>
        </w:rPr>
        <w:t xml:space="preserve"> + 0.1 Mi + 0.05 </w:t>
      </w:r>
      <w:proofErr w:type="spellStart"/>
      <w:r w:rsidRPr="00F443F6">
        <w:rPr>
          <w:rFonts w:cs="Arial"/>
        </w:rPr>
        <w:t>Ai</w:t>
      </w:r>
      <w:proofErr w:type="spellEnd"/>
      <w:r w:rsidRPr="00F443F6">
        <w:rPr>
          <w:rFonts w:cs="Arial"/>
        </w:rPr>
        <w:t xml:space="preserve"> + 0.05 </w:t>
      </w:r>
      <w:proofErr w:type="spellStart"/>
      <w:r w:rsidRPr="00F443F6">
        <w:rPr>
          <w:rFonts w:cs="Arial"/>
        </w:rPr>
        <w:t>Vci</w:t>
      </w:r>
      <w:proofErr w:type="spellEnd"/>
    </w:p>
    <w:p w14:paraId="494B5E3D" w14:textId="77777777" w:rsidR="006915AB" w:rsidRPr="00F443F6" w:rsidRDefault="006915AB" w:rsidP="006915AB">
      <w:pPr>
        <w:pStyle w:val="Prrafodelista"/>
        <w:ind w:firstLine="348"/>
        <w:jc w:val="both"/>
        <w:rPr>
          <w:rFonts w:cs="Arial"/>
        </w:rPr>
      </w:pPr>
      <w:r w:rsidRPr="00F443F6">
        <w:rPr>
          <w:rFonts w:cs="Arial"/>
        </w:rPr>
        <w:t>Donde:</w:t>
      </w:r>
    </w:p>
    <w:p w14:paraId="6B6B27AB" w14:textId="77777777" w:rsidR="006915AB" w:rsidRPr="00F443F6" w:rsidRDefault="006915AB" w:rsidP="006915AB">
      <w:pPr>
        <w:pStyle w:val="Prrafodelista"/>
        <w:ind w:left="1068"/>
        <w:jc w:val="both"/>
        <w:rPr>
          <w:rFonts w:cs="Arial"/>
        </w:rPr>
      </w:pPr>
      <w:proofErr w:type="spellStart"/>
      <w:r w:rsidRPr="00F443F6">
        <w:rPr>
          <w:rFonts w:cs="Arial"/>
        </w:rPr>
        <w:t>Rpi</w:t>
      </w:r>
      <w:proofErr w:type="spellEnd"/>
      <w:r w:rsidRPr="00F443F6">
        <w:rPr>
          <w:rFonts w:cs="Arial"/>
        </w:rPr>
        <w:t xml:space="preserve"> = es la división del número de la población de derecho del Municipio</w:t>
      </w:r>
      <w:r>
        <w:rPr>
          <w:rFonts w:cs="Arial"/>
        </w:rPr>
        <w:t xml:space="preserve"> </w:t>
      </w:r>
      <w:r w:rsidRPr="00F443F6">
        <w:rPr>
          <w:rFonts w:cs="Arial"/>
        </w:rPr>
        <w:t>consorciados i, entre la suma de la población de todos los Municipios consorciados.</w:t>
      </w:r>
    </w:p>
    <w:p w14:paraId="08DDBF57" w14:textId="77777777" w:rsidR="006915AB" w:rsidRPr="00F443F6" w:rsidRDefault="006915AB" w:rsidP="006915AB">
      <w:pPr>
        <w:pStyle w:val="Prrafodelista"/>
        <w:ind w:left="1068"/>
        <w:jc w:val="both"/>
        <w:rPr>
          <w:rFonts w:cs="Arial"/>
        </w:rPr>
      </w:pPr>
      <w:proofErr w:type="spellStart"/>
      <w:r w:rsidRPr="00F443F6">
        <w:rPr>
          <w:rFonts w:cs="Arial"/>
        </w:rPr>
        <w:t>Cti</w:t>
      </w:r>
      <w:proofErr w:type="spellEnd"/>
      <w:r w:rsidRPr="00F443F6">
        <w:rPr>
          <w:rFonts w:cs="Arial"/>
        </w:rPr>
        <w:t xml:space="preserve"> = es la división del número de las camas Turísticas del Municipio i, entre el</w:t>
      </w:r>
      <w:r>
        <w:rPr>
          <w:rFonts w:cs="Arial"/>
        </w:rPr>
        <w:t xml:space="preserve"> </w:t>
      </w:r>
      <w:r w:rsidRPr="00F443F6">
        <w:rPr>
          <w:rFonts w:cs="Arial"/>
        </w:rPr>
        <w:t>número de la suma total de las camas turísticas de todos los Municipios consorciados.</w:t>
      </w:r>
    </w:p>
    <w:p w14:paraId="3E021597" w14:textId="77777777" w:rsidR="006915AB" w:rsidRPr="00F443F6" w:rsidRDefault="006915AB" w:rsidP="006915AB">
      <w:pPr>
        <w:pStyle w:val="Prrafodelista"/>
        <w:ind w:firstLine="348"/>
        <w:jc w:val="both"/>
        <w:rPr>
          <w:rFonts w:cs="Arial"/>
        </w:rPr>
      </w:pPr>
      <w:r w:rsidRPr="00F443F6">
        <w:rPr>
          <w:rFonts w:cs="Arial"/>
        </w:rPr>
        <w:t>Mi = coeficiente para los municipios de más de 20.000 habitantes.</w:t>
      </w:r>
    </w:p>
    <w:p w14:paraId="71032967" w14:textId="77777777" w:rsidR="006915AB" w:rsidRPr="00F443F6" w:rsidRDefault="006915AB" w:rsidP="006915AB">
      <w:pPr>
        <w:pStyle w:val="Prrafodelista"/>
        <w:jc w:val="both"/>
        <w:rPr>
          <w:rFonts w:cs="Arial"/>
        </w:rPr>
      </w:pPr>
      <w:proofErr w:type="spellStart"/>
      <w:r w:rsidRPr="00F443F6">
        <w:rPr>
          <w:rFonts w:cs="Arial"/>
        </w:rPr>
        <w:lastRenderedPageBreak/>
        <w:t>Ai</w:t>
      </w:r>
      <w:proofErr w:type="spellEnd"/>
      <w:r w:rsidRPr="00F443F6">
        <w:rPr>
          <w:rFonts w:cs="Arial"/>
        </w:rPr>
        <w:t xml:space="preserve"> = es la división del número de vehículos automóviles del Municipio i, entre el</w:t>
      </w:r>
      <w:r>
        <w:rPr>
          <w:rFonts w:cs="Arial"/>
        </w:rPr>
        <w:t xml:space="preserve"> </w:t>
      </w:r>
      <w:r w:rsidRPr="00F443F6">
        <w:rPr>
          <w:rFonts w:cs="Arial"/>
        </w:rPr>
        <w:t>número de la suma total de los Valores catastrales totales de todos los Municipios</w:t>
      </w:r>
      <w:r>
        <w:rPr>
          <w:rFonts w:cs="Arial"/>
        </w:rPr>
        <w:t xml:space="preserve"> </w:t>
      </w:r>
      <w:r w:rsidRPr="00F443F6">
        <w:rPr>
          <w:rFonts w:cs="Arial"/>
        </w:rPr>
        <w:t>consorciados.</w:t>
      </w:r>
    </w:p>
    <w:p w14:paraId="215855AC" w14:textId="77777777" w:rsidR="006915AB" w:rsidRPr="00F443F6" w:rsidRDefault="006915AB" w:rsidP="006915AB">
      <w:pPr>
        <w:pStyle w:val="Prrafodelista"/>
        <w:jc w:val="both"/>
        <w:rPr>
          <w:rFonts w:cs="Arial"/>
        </w:rPr>
      </w:pPr>
      <w:r w:rsidRPr="00F443F6">
        <w:rPr>
          <w:rFonts w:cs="Arial"/>
        </w:rPr>
        <w:t>Para cada ejercicio económico y coincidiendo con la confección del</w:t>
      </w:r>
      <w:r>
        <w:rPr>
          <w:rFonts w:cs="Arial"/>
        </w:rPr>
        <w:t xml:space="preserve"> </w:t>
      </w:r>
      <w:r w:rsidRPr="00F443F6">
        <w:rPr>
          <w:rFonts w:cs="Arial"/>
        </w:rPr>
        <w:t>presupuesto anual se revisarán los valores de referencia para cada una de las</w:t>
      </w:r>
      <w:r>
        <w:rPr>
          <w:rFonts w:cs="Arial"/>
        </w:rPr>
        <w:t xml:space="preserve"> </w:t>
      </w:r>
      <w:r w:rsidRPr="00F443F6">
        <w:rPr>
          <w:rFonts w:cs="Arial"/>
        </w:rPr>
        <w:t>variables contenidas en la f</w:t>
      </w:r>
      <w:r>
        <w:rPr>
          <w:rFonts w:cs="Arial"/>
        </w:rPr>
        <w:t>ó</w:t>
      </w:r>
      <w:r w:rsidRPr="00F443F6">
        <w:rPr>
          <w:rFonts w:cs="Arial"/>
        </w:rPr>
        <w:t>rmula arriba indicada.</w:t>
      </w:r>
    </w:p>
    <w:p w14:paraId="54DB67B2" w14:textId="77777777" w:rsidR="006915AB" w:rsidRPr="00F443F6" w:rsidRDefault="006915AB" w:rsidP="006915AB">
      <w:pPr>
        <w:pStyle w:val="Prrafodelista"/>
        <w:jc w:val="both"/>
        <w:rPr>
          <w:rFonts w:cs="Arial"/>
        </w:rPr>
      </w:pPr>
      <w:r w:rsidRPr="00F443F6">
        <w:rPr>
          <w:rFonts w:cs="Arial"/>
        </w:rPr>
        <w:t>Dichos valores deberán ser los últimos aprobados y publicados por cada una</w:t>
      </w:r>
      <w:r>
        <w:rPr>
          <w:rFonts w:cs="Arial"/>
        </w:rPr>
        <w:t xml:space="preserve"> </w:t>
      </w:r>
      <w:r w:rsidRPr="00F443F6">
        <w:rPr>
          <w:rFonts w:cs="Arial"/>
        </w:rPr>
        <w:t>de las Administraciones responsables de dicha información, en el momento de cálculo</w:t>
      </w:r>
      <w:r>
        <w:rPr>
          <w:rFonts w:cs="Arial"/>
        </w:rPr>
        <w:t xml:space="preserve"> </w:t>
      </w:r>
      <w:r w:rsidRPr="00F443F6">
        <w:rPr>
          <w:rFonts w:cs="Arial"/>
        </w:rPr>
        <w:t>de los coeficientes Ci</w:t>
      </w:r>
    </w:p>
    <w:p w14:paraId="00260B0F" w14:textId="77777777" w:rsidR="006915AB" w:rsidRPr="00F443F6" w:rsidRDefault="006915AB" w:rsidP="006915AB">
      <w:pPr>
        <w:pStyle w:val="Prrafodelista"/>
        <w:jc w:val="both"/>
        <w:rPr>
          <w:rFonts w:cs="Arial"/>
        </w:rPr>
      </w:pPr>
      <w:r w:rsidRPr="00F443F6">
        <w:rPr>
          <w:rFonts w:cs="Arial"/>
        </w:rPr>
        <w:t>Las aportaciones se efectuarán prorrateadas por trimestre dentro de los diez</w:t>
      </w:r>
      <w:r>
        <w:rPr>
          <w:rFonts w:cs="Arial"/>
        </w:rPr>
        <w:t xml:space="preserve"> </w:t>
      </w:r>
      <w:r w:rsidRPr="00F443F6">
        <w:rPr>
          <w:rFonts w:cs="Arial"/>
        </w:rPr>
        <w:t>(10) primeros días de cada período.</w:t>
      </w:r>
    </w:p>
    <w:p w14:paraId="4E82E76F" w14:textId="77777777" w:rsidR="006915AB" w:rsidRDefault="006915AB" w:rsidP="006915AB">
      <w:pPr>
        <w:pStyle w:val="Prrafodelista"/>
        <w:jc w:val="both"/>
        <w:rPr>
          <w:rFonts w:cs="Arial"/>
        </w:rPr>
      </w:pPr>
      <w:r w:rsidRPr="00F443F6">
        <w:rPr>
          <w:rFonts w:cs="Arial"/>
        </w:rPr>
        <w:t>Respecto de aquellos municipios de población inferior a 20.000 habitantes, que</w:t>
      </w:r>
      <w:r>
        <w:rPr>
          <w:rFonts w:cs="Arial"/>
        </w:rPr>
        <w:t xml:space="preserve"> </w:t>
      </w:r>
      <w:r w:rsidRPr="00F443F6">
        <w:rPr>
          <w:rFonts w:cs="Arial"/>
        </w:rPr>
        <w:t>no formen parte del Consorcio, y que no procedan a prestar el servicio público</w:t>
      </w:r>
      <w:r>
        <w:rPr>
          <w:rFonts w:cs="Arial"/>
        </w:rPr>
        <w:t xml:space="preserve"> </w:t>
      </w:r>
      <w:r w:rsidRPr="00F443F6">
        <w:rPr>
          <w:rFonts w:cs="Arial"/>
        </w:rPr>
        <w:t>legalmente encomendado, de conformidad con lo dispuesto por el artículo 36.2 de la</w:t>
      </w:r>
      <w:r>
        <w:rPr>
          <w:rFonts w:cs="Arial"/>
        </w:rPr>
        <w:t xml:space="preserve"> </w:t>
      </w:r>
      <w:r w:rsidRPr="00F443F6">
        <w:rPr>
          <w:rFonts w:cs="Arial"/>
        </w:rPr>
        <w:t>Ley de bases de régimen local, el Cabildo, como responsable subsidiario de la</w:t>
      </w:r>
      <w:r>
        <w:rPr>
          <w:rFonts w:cs="Arial"/>
        </w:rPr>
        <w:t xml:space="preserve"> </w:t>
      </w:r>
      <w:r w:rsidRPr="00F443F6">
        <w:rPr>
          <w:rFonts w:cs="Arial"/>
        </w:rPr>
        <w:t>prestación del servicio, realizará las aportaciones que les correspondiera, con cargo a</w:t>
      </w:r>
      <w:r>
        <w:rPr>
          <w:rFonts w:cs="Arial"/>
        </w:rPr>
        <w:t xml:space="preserve"> </w:t>
      </w:r>
      <w:r w:rsidRPr="00F443F6">
        <w:rPr>
          <w:rFonts w:cs="Arial"/>
        </w:rPr>
        <w:t>la participación de tales municipios en los Planes Insulares de cooperación municipal.</w:t>
      </w:r>
    </w:p>
    <w:p w14:paraId="0EF574E1" w14:textId="77777777" w:rsidR="006915AB" w:rsidRPr="00F443F6" w:rsidRDefault="006915AB" w:rsidP="006915AB">
      <w:pPr>
        <w:pStyle w:val="Prrafodelista"/>
        <w:numPr>
          <w:ilvl w:val="0"/>
          <w:numId w:val="1"/>
        </w:numPr>
        <w:spacing w:after="120"/>
        <w:jc w:val="both"/>
        <w:rPr>
          <w:rFonts w:cs="Arial"/>
        </w:rPr>
      </w:pPr>
      <w:r w:rsidRPr="00DD0F73">
        <w:rPr>
          <w:rFonts w:cs="Arial"/>
          <w:b/>
          <w:bCs/>
        </w:rPr>
        <w:t>Tasas y contribuciones especiales</w:t>
      </w:r>
      <w:r w:rsidRPr="00F443F6">
        <w:rPr>
          <w:rFonts w:cs="Arial"/>
        </w:rPr>
        <w:t>.</w:t>
      </w:r>
    </w:p>
    <w:p w14:paraId="79919EA5" w14:textId="77777777" w:rsidR="006915AB" w:rsidRPr="00F443F6" w:rsidRDefault="006915AB" w:rsidP="006915AB">
      <w:pPr>
        <w:pStyle w:val="Prrafodelista"/>
        <w:numPr>
          <w:ilvl w:val="0"/>
          <w:numId w:val="1"/>
        </w:numPr>
        <w:spacing w:after="120"/>
        <w:jc w:val="both"/>
        <w:rPr>
          <w:rFonts w:cs="Arial"/>
        </w:rPr>
      </w:pPr>
      <w:r w:rsidRPr="00DD0F73">
        <w:rPr>
          <w:rFonts w:cs="Arial"/>
          <w:b/>
          <w:bCs/>
        </w:rPr>
        <w:t>Precios públicos</w:t>
      </w:r>
      <w:r w:rsidRPr="00F443F6">
        <w:rPr>
          <w:rFonts w:cs="Arial"/>
        </w:rPr>
        <w:t>.</w:t>
      </w:r>
    </w:p>
    <w:p w14:paraId="62802802" w14:textId="77777777" w:rsidR="006915AB" w:rsidRDefault="006915AB" w:rsidP="006915AB">
      <w:pPr>
        <w:pStyle w:val="Prrafodelista"/>
        <w:numPr>
          <w:ilvl w:val="0"/>
          <w:numId w:val="1"/>
        </w:numPr>
        <w:rPr>
          <w:rFonts w:cs="Arial"/>
        </w:rPr>
      </w:pPr>
      <w:r w:rsidRPr="00DD0F73">
        <w:rPr>
          <w:rFonts w:cs="Arial"/>
          <w:b/>
          <w:bCs/>
        </w:rPr>
        <w:t>Producto de su patrimonio</w:t>
      </w:r>
      <w:r w:rsidRPr="00F443F6">
        <w:rPr>
          <w:rFonts w:cs="Arial"/>
        </w:rPr>
        <w:t>.</w:t>
      </w:r>
    </w:p>
    <w:p w14:paraId="698BCF88" w14:textId="77777777" w:rsidR="006915AB" w:rsidRDefault="006915AB" w:rsidP="006915AB">
      <w:pPr>
        <w:pStyle w:val="Prrafodelista"/>
        <w:numPr>
          <w:ilvl w:val="0"/>
          <w:numId w:val="1"/>
        </w:numPr>
        <w:rPr>
          <w:rFonts w:cs="Arial"/>
        </w:rPr>
      </w:pPr>
      <w:r w:rsidRPr="00DD0F73">
        <w:rPr>
          <w:rFonts w:cs="Arial"/>
          <w:b/>
          <w:bCs/>
        </w:rPr>
        <w:t>Subvenciones</w:t>
      </w:r>
      <w:r w:rsidRPr="00F443F6">
        <w:rPr>
          <w:rFonts w:cs="Arial"/>
        </w:rPr>
        <w:t>.</w:t>
      </w:r>
    </w:p>
    <w:p w14:paraId="018AFAF0" w14:textId="3E2D9EA4" w:rsidR="00DD0F73" w:rsidRPr="00626C0A" w:rsidRDefault="006915AB" w:rsidP="006915AB">
      <w:pPr>
        <w:pStyle w:val="Prrafodelista"/>
        <w:numPr>
          <w:ilvl w:val="0"/>
          <w:numId w:val="1"/>
        </w:numPr>
        <w:spacing w:after="120"/>
        <w:jc w:val="both"/>
        <w:rPr>
          <w:rFonts w:cs="Arial"/>
        </w:rPr>
      </w:pPr>
      <w:r w:rsidRPr="00DD0F73">
        <w:rPr>
          <w:rFonts w:cs="Arial"/>
          <w:b/>
          <w:bCs/>
        </w:rPr>
        <w:t>Cualquier otro recurso que pudiera serle atribuido</w:t>
      </w:r>
      <w:r w:rsidRPr="00F443F6">
        <w:rPr>
          <w:rFonts w:cs="Arial"/>
        </w:rPr>
        <w:t>.</w:t>
      </w:r>
    </w:p>
    <w:sectPr w:rsidR="00DD0F73" w:rsidRPr="00626C0A">
      <w:headerReference w:type="default" r:id="rId7"/>
      <w:footerReference w:type="default" r:id="rId8"/>
      <w:pgSz w:w="11906" w:h="16838"/>
      <w:pgMar w:top="2835" w:right="1701" w:bottom="170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9304C" w14:textId="77777777" w:rsidR="004F1AA6" w:rsidRDefault="00467FE4">
      <w:r>
        <w:separator/>
      </w:r>
    </w:p>
  </w:endnote>
  <w:endnote w:type="continuationSeparator" w:id="0">
    <w:p w14:paraId="79561F68" w14:textId="77777777" w:rsidR="004F1AA6" w:rsidRDefault="0046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76B65" w14:textId="6D8C3C82" w:rsidR="00AC6B63" w:rsidRDefault="00467FE4">
    <w:pPr>
      <w:pStyle w:val="Piedepgina"/>
    </w:pPr>
    <w:r>
      <w:rPr>
        <w:sz w:val="16"/>
        <w:szCs w:val="16"/>
      </w:rPr>
      <w:t>Fecha de publicación: 30/12/2019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Fecha de actualización: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"dd'/'MM'/'yyyy" </w:instrText>
    </w:r>
    <w:r>
      <w:rPr>
        <w:sz w:val="16"/>
        <w:szCs w:val="16"/>
      </w:rPr>
      <w:fldChar w:fldCharType="separate"/>
    </w:r>
    <w:r w:rsidR="002E09F9">
      <w:rPr>
        <w:noProof/>
        <w:sz w:val="16"/>
        <w:szCs w:val="16"/>
      </w:rPr>
      <w:t>08/04/2025</w:t>
    </w:r>
    <w:r>
      <w:rPr>
        <w:sz w:val="16"/>
        <w:szCs w:val="16"/>
      </w:rPr>
      <w:fldChar w:fldCharType="end"/>
    </w:r>
  </w:p>
  <w:p w14:paraId="006FF490" w14:textId="77777777" w:rsidR="00AC6B63" w:rsidRDefault="00AC6B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96922" w14:textId="77777777" w:rsidR="004F1AA6" w:rsidRDefault="00467FE4">
      <w:r>
        <w:rPr>
          <w:color w:val="000000"/>
        </w:rPr>
        <w:separator/>
      </w:r>
    </w:p>
  </w:footnote>
  <w:footnote w:type="continuationSeparator" w:id="0">
    <w:p w14:paraId="6E6FDD8F" w14:textId="77777777" w:rsidR="004F1AA6" w:rsidRDefault="00467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FFB7" w14:textId="77777777" w:rsidR="00AC6B63" w:rsidRDefault="00467FE4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5A877471" wp14:editId="198B0A30">
          <wp:extent cx="2292254" cy="1031973"/>
          <wp:effectExtent l="0" t="0" r="0" b="0"/>
          <wp:docPr id="1" name="1 Imagen" descr="imagen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2254" cy="103197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370"/>
    <w:multiLevelType w:val="hybridMultilevel"/>
    <w:tmpl w:val="1E90F06A"/>
    <w:lvl w:ilvl="0" w:tplc="08FCE8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A5F55"/>
    <w:multiLevelType w:val="hybridMultilevel"/>
    <w:tmpl w:val="5652DAC4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4D1979"/>
    <w:multiLevelType w:val="hybridMultilevel"/>
    <w:tmpl w:val="F49CA3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B4EB1"/>
    <w:multiLevelType w:val="hybridMultilevel"/>
    <w:tmpl w:val="5088F576"/>
    <w:lvl w:ilvl="0" w:tplc="08FCE8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63416"/>
    <w:multiLevelType w:val="hybridMultilevel"/>
    <w:tmpl w:val="C6B6C3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493"/>
    <w:rsid w:val="000E192D"/>
    <w:rsid w:val="00187CC9"/>
    <w:rsid w:val="001F4105"/>
    <w:rsid w:val="002E09F9"/>
    <w:rsid w:val="00464520"/>
    <w:rsid w:val="00467FE4"/>
    <w:rsid w:val="004D381A"/>
    <w:rsid w:val="004F1AA6"/>
    <w:rsid w:val="00626C0A"/>
    <w:rsid w:val="00634BF1"/>
    <w:rsid w:val="006915AB"/>
    <w:rsid w:val="00823A47"/>
    <w:rsid w:val="00AC6B63"/>
    <w:rsid w:val="00CC1DC6"/>
    <w:rsid w:val="00D36CE2"/>
    <w:rsid w:val="00DD0F73"/>
    <w:rsid w:val="00E37493"/>
    <w:rsid w:val="00F4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9B24"/>
  <w15:docId w15:val="{7EF3C789-A918-4262-A2FF-D0F10248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 Negrita" w:eastAsia="Times New Roman" w:hAnsi="Arial Negrita"/>
      <w:b/>
      <w:bCs/>
      <w:caps/>
      <w:color w:val="FF0000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eastAsia="Times New Roman"/>
      <w:b/>
      <w:bCs/>
      <w:color w:val="FF0000"/>
      <w:sz w:val="24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eastAsia="Times New Roman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Arial Negrita" w:eastAsia="Times New Roman" w:hAnsi="Arial Negrita" w:cs="Times New Roman"/>
      <w:b/>
      <w:bCs/>
      <w:caps/>
      <w:color w:val="FF0000"/>
      <w:sz w:val="28"/>
      <w:szCs w:val="28"/>
    </w:rPr>
  </w:style>
  <w:style w:type="character" w:customStyle="1" w:styleId="Ttulo2Car">
    <w:name w:val="Título 2 Car"/>
    <w:basedOn w:val="Fuentedeprrafopredeter"/>
    <w:rPr>
      <w:rFonts w:ascii="Arial" w:eastAsia="Times New Roman" w:hAnsi="Arial" w:cs="Times New Roman"/>
      <w:b/>
      <w:bCs/>
      <w:color w:val="FF0000"/>
      <w:sz w:val="24"/>
      <w:szCs w:val="26"/>
    </w:rPr>
  </w:style>
  <w:style w:type="character" w:customStyle="1" w:styleId="Ttulo3Car">
    <w:name w:val="Título 3 Car"/>
    <w:basedOn w:val="Fuentedeprrafopredeter"/>
    <w:rPr>
      <w:rFonts w:ascii="Arial" w:eastAsia="Times New Roman" w:hAnsi="Arial" w:cs="Times New Roman"/>
      <w:b/>
      <w:bCs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Pr>
      <w:rFonts w:ascii="Arial" w:hAnsi="Aria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rPr>
      <w:rFonts w:ascii="Arial" w:hAnsi="Arial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after="100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Prrafodelista">
    <w:name w:val="List Paragraph"/>
    <w:basedOn w:val="Normal"/>
    <w:pPr>
      <w:spacing w:after="200" w:line="276" w:lineRule="auto"/>
      <w:ind w:left="720"/>
      <w:jc w:val="left"/>
    </w:pPr>
    <w:rPr>
      <w:rFonts w:ascii="Calibri" w:hAnsi="Calibri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Sinespaciado">
    <w:name w:val="No Spacing"/>
    <w:pPr>
      <w:suppressAutoHyphens/>
      <w:spacing w:after="0" w:line="24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mmercedes</dc:creator>
  <cp:lastModifiedBy>José Eduardo Socas Delgado</cp:lastModifiedBy>
  <cp:revision>9</cp:revision>
  <cp:lastPrinted>2023-10-05T13:07:00Z</cp:lastPrinted>
  <dcterms:created xsi:type="dcterms:W3CDTF">2021-10-22T08:06:00Z</dcterms:created>
  <dcterms:modified xsi:type="dcterms:W3CDTF">2025-04-08T08:18:00Z</dcterms:modified>
</cp:coreProperties>
</file>